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4CD" w:rsidRPr="00582142" w:rsidRDefault="00EC5804" w:rsidP="00582142">
      <w:pPr>
        <w:pStyle w:val="Teksttreci20"/>
        <w:framePr w:w="2380" w:h="552" w:wrap="around" w:vAnchor="text" w:hAnchor="page" w:x="740" w:y="-63"/>
        <w:shd w:val="clear" w:color="auto" w:fill="auto"/>
        <w:spacing w:after="91" w:line="170" w:lineRule="exact"/>
        <w:ind w:left="100"/>
        <w:rPr>
          <w:sz w:val="20"/>
        </w:rPr>
      </w:pPr>
      <w:r>
        <w:rPr>
          <w:rStyle w:val="Teksttreci21"/>
          <w:sz w:val="20"/>
        </w:rPr>
        <w:t>Asseco Business Solutions</w:t>
      </w:r>
    </w:p>
    <w:p w:rsidR="008114CD" w:rsidRPr="00582142" w:rsidRDefault="008114CD">
      <w:pPr>
        <w:rPr>
          <w:sz w:val="2"/>
          <w:szCs w:val="2"/>
          <w:lang w:val="en-US"/>
        </w:rPr>
        <w:sectPr w:rsidR="008114CD" w:rsidRPr="00582142">
          <w:type w:val="continuous"/>
          <w:pgSz w:w="11905" w:h="16837"/>
          <w:pgMar w:top="840" w:right="737" w:bottom="528" w:left="838" w:header="0" w:footer="3" w:gutter="0"/>
          <w:cols w:space="720"/>
          <w:noEndnote/>
          <w:docGrid w:linePitch="360"/>
        </w:sectPr>
      </w:pPr>
    </w:p>
    <w:p w:rsidR="008114CD" w:rsidRPr="00582142" w:rsidRDefault="008114CD">
      <w:pPr>
        <w:rPr>
          <w:sz w:val="2"/>
          <w:szCs w:val="2"/>
          <w:lang w:val="en-US"/>
        </w:rPr>
        <w:sectPr w:rsidR="008114CD" w:rsidRPr="0058214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82142" w:rsidRDefault="00582142">
      <w:pPr>
        <w:pStyle w:val="Nagwek10"/>
        <w:keepNext/>
        <w:keepLines/>
        <w:shd w:val="clear" w:color="auto" w:fill="auto"/>
        <w:spacing w:after="197" w:line="270" w:lineRule="exact"/>
        <w:ind w:left="20"/>
      </w:pPr>
      <w:bookmarkStart w:id="0" w:name="bookmark1"/>
    </w:p>
    <w:p w:rsidR="00582142" w:rsidRDefault="00582142">
      <w:pPr>
        <w:pStyle w:val="Nagwek10"/>
        <w:keepNext/>
        <w:keepLines/>
        <w:shd w:val="clear" w:color="auto" w:fill="auto"/>
        <w:spacing w:after="197" w:line="270" w:lineRule="exact"/>
        <w:ind w:left="20"/>
      </w:pPr>
    </w:p>
    <w:p w:rsidR="008114CD" w:rsidRDefault="00EC5804">
      <w:pPr>
        <w:pStyle w:val="Nagwek10"/>
        <w:keepNext/>
        <w:keepLines/>
        <w:shd w:val="clear" w:color="auto" w:fill="auto"/>
        <w:spacing w:after="197" w:line="270" w:lineRule="exact"/>
        <w:ind w:left="20"/>
      </w:pPr>
      <w:r>
        <w:t xml:space="preserve">A list of changes </w:t>
      </w:r>
      <w:r w:rsidR="00522893">
        <w:t>to</w:t>
      </w:r>
      <w:r>
        <w:t xml:space="preserve"> the Articles of Association of Asseco Business Solutions S.A.:</w:t>
      </w:r>
      <w:bookmarkEnd w:id="0"/>
    </w:p>
    <w:p w:rsidR="008114CD" w:rsidRDefault="00EC5804">
      <w:pPr>
        <w:pStyle w:val="Teksttreci60"/>
        <w:shd w:val="clear" w:color="auto" w:fill="auto"/>
        <w:spacing w:before="0"/>
        <w:ind w:left="20"/>
      </w:pPr>
      <w:r>
        <w:t>Article 13(3) which reads:</w:t>
      </w:r>
    </w:p>
    <w:p w:rsidR="008114CD" w:rsidRDefault="00EC5804">
      <w:pPr>
        <w:pStyle w:val="Teksttreci0"/>
        <w:shd w:val="clear" w:color="auto" w:fill="auto"/>
        <w:ind w:left="20"/>
      </w:pPr>
      <w:r>
        <w:t>“3. The Supervisory Board shall be appointed and dismissed as follows:</w:t>
      </w:r>
    </w:p>
    <w:p w:rsidR="008114CD" w:rsidRDefault="00EC5804">
      <w:pPr>
        <w:pStyle w:val="Teksttreci0"/>
        <w:numPr>
          <w:ilvl w:val="0"/>
          <w:numId w:val="1"/>
        </w:numPr>
        <w:shd w:val="clear" w:color="auto" w:fill="auto"/>
        <w:tabs>
          <w:tab w:val="left" w:pos="274"/>
        </w:tabs>
        <w:spacing w:after="91"/>
        <w:ind w:left="20" w:right="240"/>
      </w:pPr>
      <w:r>
        <w:t>3 (three) members of the Supervisory Board are appointed and dismissed by ASSECO Poland S.A., as long as it remains a shareholder of the Company holding at least 20% of the share capital of the Company,</w:t>
      </w:r>
    </w:p>
    <w:p w:rsidR="008114CD" w:rsidRDefault="00EC5804">
      <w:pPr>
        <w:pStyle w:val="Teksttreci0"/>
        <w:numPr>
          <w:ilvl w:val="0"/>
          <w:numId w:val="1"/>
        </w:numPr>
        <w:shd w:val="clear" w:color="auto" w:fill="auto"/>
        <w:tabs>
          <w:tab w:val="left" w:pos="260"/>
        </w:tabs>
        <w:spacing w:after="208" w:line="220" w:lineRule="exact"/>
        <w:ind w:left="20"/>
      </w:pPr>
      <w:r>
        <w:t>two (2) members of the Supervisory Board are appointed by the General Meeting, with the exception of voting by the shareholder of ASSECO Poland SA.</w:t>
      </w:r>
    </w:p>
    <w:p w:rsidR="008114CD" w:rsidRDefault="00EC5804">
      <w:pPr>
        <w:pStyle w:val="Teksttreci0"/>
        <w:shd w:val="clear" w:color="auto" w:fill="auto"/>
        <w:spacing w:after="275" w:line="264" w:lineRule="exact"/>
        <w:ind w:left="20" w:right="240"/>
      </w:pPr>
      <w:r>
        <w:t>The Members of the Supervisory Board shall be appointed for a five-year joint term of office. Each Member of the Supervisory Board may be re-elected to perform this function.”</w:t>
      </w:r>
    </w:p>
    <w:p w:rsidR="008114CD" w:rsidRDefault="00EC5804">
      <w:pPr>
        <w:pStyle w:val="Teksttreci60"/>
        <w:shd w:val="clear" w:color="auto" w:fill="auto"/>
        <w:spacing w:before="0" w:line="220" w:lineRule="exact"/>
        <w:ind w:left="20"/>
      </w:pPr>
      <w:r>
        <w:t>shall read as follows:</w:t>
      </w:r>
    </w:p>
    <w:p w:rsidR="008114CD" w:rsidRDefault="00EC5804">
      <w:pPr>
        <w:pStyle w:val="Teksttreci70"/>
        <w:shd w:val="clear" w:color="auto" w:fill="auto"/>
        <w:spacing w:before="0" w:after="8837"/>
        <w:ind w:left="20" w:right="240"/>
      </w:pPr>
      <w:r>
        <w:rPr>
          <w:rStyle w:val="Teksttreci7Bezkursywy"/>
        </w:rPr>
        <w:t>“3.</w:t>
      </w:r>
      <w:r>
        <w:t xml:space="preserve"> The Supervisory Board shall be appointed and dismissed by the General Meeting. The Members of the Supervisory Board shall be appointed for a five-year joint term of office. Each Member of the Supervisory Board may be re-elected to perform this function.”</w:t>
      </w:r>
      <w:bookmarkStart w:id="1" w:name="_GoBack"/>
      <w:bookmarkEnd w:id="1"/>
    </w:p>
    <w:p w:rsidR="008114CD" w:rsidRDefault="00EC5804">
      <w:pPr>
        <w:pStyle w:val="Teksttreci40"/>
        <w:shd w:val="clear" w:color="auto" w:fill="auto"/>
        <w:tabs>
          <w:tab w:val="left" w:pos="9356"/>
        </w:tabs>
        <w:spacing w:after="0" w:line="202" w:lineRule="exact"/>
        <w:ind w:left="20"/>
      </w:pPr>
      <w:r>
        <w:t>Asseco Business Solutions S.A., having its registered office in Lublin, at ul. Konrada Wallenroda 4c, 20-607 Lublin, Poland</w:t>
      </w:r>
      <w:r>
        <w:rPr>
          <w:rStyle w:val="Teksttreci485ptBezpogrubienia"/>
        </w:rPr>
        <w:tab/>
      </w:r>
    </w:p>
    <w:p w:rsidR="008114CD" w:rsidRDefault="00EC5804">
      <w:pPr>
        <w:pStyle w:val="Teksttreci40"/>
        <w:shd w:val="clear" w:color="auto" w:fill="auto"/>
        <w:spacing w:after="0" w:line="202" w:lineRule="exact"/>
        <w:ind w:left="20"/>
      </w:pPr>
      <w:r>
        <w:t>District Court Lublin East, seated in Świdnik, VI Economic Division of the National Court Register, registration no. KRS 0000028257,</w:t>
      </w:r>
    </w:p>
    <w:p w:rsidR="008114CD" w:rsidRDefault="00EC5804">
      <w:pPr>
        <w:pStyle w:val="Teksttreci40"/>
        <w:shd w:val="clear" w:color="auto" w:fill="auto"/>
        <w:tabs>
          <w:tab w:val="left" w:pos="8938"/>
        </w:tabs>
        <w:spacing w:after="0" w:line="202" w:lineRule="exact"/>
        <w:ind w:left="20"/>
      </w:pPr>
      <w:r>
        <w:t>tax no. NIP 522-26-12-717, business ID REGON 017293003, share capital PLN 167,090,965.00 (fully paid up)</w:t>
      </w:r>
      <w:r>
        <w:rPr>
          <w:rStyle w:val="Teksttreci485ptBezpogrubienia"/>
        </w:rPr>
        <w:tab/>
      </w:r>
    </w:p>
    <w:sectPr w:rsidR="008114CD">
      <w:type w:val="continuous"/>
      <w:pgSz w:w="11905" w:h="16837"/>
      <w:pgMar w:top="840" w:right="737" w:bottom="528" w:left="8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0A7" w:rsidRDefault="00CA40A7">
      <w:r>
        <w:separator/>
      </w:r>
    </w:p>
  </w:endnote>
  <w:endnote w:type="continuationSeparator" w:id="0">
    <w:p w:rsidR="00CA40A7" w:rsidRDefault="00CA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0A7" w:rsidRDefault="00CA40A7"/>
  </w:footnote>
  <w:footnote w:type="continuationSeparator" w:id="0">
    <w:p w:rsidR="00CA40A7" w:rsidRDefault="00CA4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F34B6"/>
    <w:multiLevelType w:val="multilevel"/>
    <w:tmpl w:val="BFB29A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CD"/>
    <w:rsid w:val="00522893"/>
    <w:rsid w:val="00582142"/>
    <w:rsid w:val="00770115"/>
    <w:rsid w:val="008114CD"/>
    <w:rsid w:val="00CA40A7"/>
    <w:rsid w:val="00CE3274"/>
    <w:rsid w:val="00E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1833"/>
  <w15:docId w15:val="{E97D84E0-F896-4F1E-B332-045416FE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n-GB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41">
    <w:name w:val="Tekst treści (4)"/>
    <w:basedOn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w w:val="200"/>
      <w:sz w:val="59"/>
      <w:szCs w:val="59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Nagwek21">
    <w:name w:val="Nagłówek #2"/>
    <w:basedOn w:val="Nagwek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7Bezkursywy">
    <w:name w:val="Tekst treści (7) + Bez kursywy"/>
    <w:basedOn w:val="Teksttreci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485ptBezpogrubienia">
    <w:name w:val="Tekst treści (4) + 8;5 pt;Bez pogrubienia"/>
    <w:basedOn w:val="Teksttreci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85ptBezpogrubienia0">
    <w:name w:val="Tekst treści (4) + 8;5 pt;Bez pogrubienia"/>
    <w:basedOn w:val="Teksttreci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75pt">
    <w:name w:val="Tekst treści (4) + 7;5 pt"/>
    <w:basedOn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  <w:lang w:val="en-GB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20"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line="0" w:lineRule="atLeast"/>
    </w:pPr>
    <w:rPr>
      <w:sz w:val="12"/>
      <w:szCs w:val="1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30"/>
      <w:w w:val="200"/>
      <w:sz w:val="59"/>
      <w:szCs w:val="5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pacing w:val="10"/>
      <w:sz w:val="23"/>
      <w:szCs w:val="2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259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8760" w:line="298" w:lineRule="exact"/>
    </w:pPr>
    <w:rPr>
      <w:rFonts w:ascii="Calibri" w:eastAsia="Calibri" w:hAnsi="Calibri" w:cs="Calibri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Konrad_TWO HEADS</dc:creator>
  <cp:keywords/>
  <cp:lastModifiedBy>Konrad Szulga</cp:lastModifiedBy>
  <cp:revision>4</cp:revision>
  <dcterms:created xsi:type="dcterms:W3CDTF">2017-12-07T18:07:00Z</dcterms:created>
  <dcterms:modified xsi:type="dcterms:W3CDTF">2017-12-19T16:52:00Z</dcterms:modified>
</cp:coreProperties>
</file>